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857375" cy="1857375"/>
            <wp:effectExtent b="0" l="0" r="0" t="0"/>
            <wp:docPr id="10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2" w:right="0" w:hanging="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UNIVERSIDAD DE BUENOS 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2" w:right="0" w:hanging="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FACULTAD DE FILOSOFÍA Y LETRAS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DEPARTAMENTO: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LETRAS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MATERIA: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32"/>
          <w:szCs w:val="32"/>
          <w:highlight w:val="white"/>
          <w:u w:val="none"/>
          <w:vertAlign w:val="baseline"/>
          <w:rtl w:val="0"/>
        </w:rPr>
        <w:t xml:space="preserve">LITERATU</w:t>
      </w:r>
      <w:r w:rsidDel="00000000" w:rsidR="00000000" w:rsidRPr="00000000">
        <w:rPr>
          <w:sz w:val="32"/>
          <w:szCs w:val="32"/>
          <w:highlight w:val="white"/>
          <w:rtl w:val="0"/>
        </w:rPr>
        <w:t xml:space="preserve">R</w:t>
      </w:r>
      <w:r w:rsidDel="00000000" w:rsidR="00000000" w:rsidRPr="00000000">
        <w:rPr>
          <w:i w:val="0"/>
          <w:smallCaps w:val="0"/>
          <w:strike w:val="0"/>
          <w:sz w:val="32"/>
          <w:szCs w:val="32"/>
          <w:highlight w:val="white"/>
          <w:u w:val="none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FRANCESA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RÉGIMEN DE PROMOCIÓN: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EF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MODALIDAD DE DICTADO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VIRTUAL (según Res. D 732/20 y normativa específica dispuesta a los efectos de organizar el dictado a distancia)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PROFESOR: VEDDA, Miguel (Director del Departamento)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CUATRIMESTRE: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2°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AÑO: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2020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CÓDIGO Nº: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0504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 DE BUENOS 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FACULTAD DE FILOSOFÍA Y LETRAS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DEPARTAMENTO DE LETRAS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LITERATURA FRANCESA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MODALIDAD DE DICTADO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VIRTUAL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RÉGIMEN DE PROMOCIÓN: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CARGA HORARIA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96 HORAS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CUATRIMESTRE Y AÑO: 2°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CÓDIGO Nº: 0504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PROFESOR/A: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Vedda, Miguel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EQUIPO DOCENTE: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JEFE DE TRABAJOS PRÁCTICOS: Dr. WALTER ROMERO</w:t>
      </w:r>
    </w:p>
    <w:p w:rsidR="00000000" w:rsidDel="00000000" w:rsidP="00000000" w:rsidRDefault="00000000" w:rsidRPr="00000000" w14:paraId="0000002A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JEFA DE TRABAJOS PRACTICOS: Lic. MAGDALENA ARNOUX</w:t>
      </w:r>
    </w:p>
    <w:p w:rsidR="00000000" w:rsidDel="00000000" w:rsidP="00000000" w:rsidRDefault="00000000" w:rsidRPr="00000000" w14:paraId="0000002B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AUXILIAR DOCENTE DE 1RA: Dr. SERGIO DI NUCCI</w:t>
      </w:r>
    </w:p>
    <w:p w:rsidR="00000000" w:rsidDel="00000000" w:rsidP="00000000" w:rsidRDefault="00000000" w:rsidRPr="00000000" w14:paraId="0000002C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AUXILIAR DOCENTE DE 1RA: Lic. LUCIA VOGELFANG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AUXILIAR DOCENTE DE 1RA: Lic. JORGE CAPUTO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/ TEMA DEL PROGRAMA</w:t>
      </w:r>
    </w:p>
    <w:p w:rsidR="00000000" w:rsidDel="00000000" w:rsidP="00000000" w:rsidRDefault="00000000" w:rsidRPr="00000000" w14:paraId="00000030">
      <w:pPr>
        <w:ind w:left="0" w:hanging="2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Otredad y “extranjería” en la literatura francesa: subjetividades de la disidencia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.0000000000000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Fundamentación y descripción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Múltiples figuraciones del otro y del “extranjero”  —excluidos, rechazados y/o negados por sus diferencias sociales, étnicas, territoriales, económicas o sexuales— atraviesan desde sus orígenes el panorama literario francés. Bajo el rimbauldiano apotegma “</w:t>
      </w:r>
      <w:r w:rsidDel="00000000" w:rsidR="00000000" w:rsidRPr="00000000">
        <w:rPr>
          <w:i w:val="1"/>
          <w:rtl w:val="0"/>
        </w:rPr>
        <w:t xml:space="preserve">Je est autre</w:t>
      </w:r>
      <w:r w:rsidDel="00000000" w:rsidR="00000000" w:rsidRPr="00000000">
        <w:rPr>
          <w:rtl w:val="0"/>
        </w:rPr>
        <w:t xml:space="preserve">”  como ejes nuclear —que irradia estrategias discursivas y literarias de la “extranjería” y la otredad—, el presente programa se propone estudiar, en un recorte desde el siglo XVII hasta nuestros días, distintas subjetividades de la disidencia (minorías, migrantes o forasteros, trabajadores sexuales, parias o desfavorecidos) y sus “narrativas” textuales de resistencia e insumisión bajo las formas genéricas del teatro, la poesía y la novela. </w:t>
      </w:r>
    </w:p>
    <w:p w:rsidR="00000000" w:rsidDel="00000000" w:rsidP="00000000" w:rsidRDefault="00000000" w:rsidRPr="00000000" w14:paraId="00000034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Lecturas</w:t>
      </w:r>
    </w:p>
    <w:p w:rsidR="00000000" w:rsidDel="00000000" w:rsidP="00000000" w:rsidRDefault="00000000" w:rsidRPr="00000000" w14:paraId="00000036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Fuentes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rPr/>
      </w:pPr>
      <w:r w:rsidDel="00000000" w:rsidR="00000000" w:rsidRPr="00000000">
        <w:rPr>
          <w:i w:val="1"/>
          <w:rtl w:val="0"/>
        </w:rPr>
        <w:t xml:space="preserve">Bérénice</w:t>
      </w:r>
      <w:r w:rsidDel="00000000" w:rsidR="00000000" w:rsidRPr="00000000">
        <w:rPr>
          <w:rtl w:val="0"/>
        </w:rPr>
        <w:t xml:space="preserve"> (1670) de Jean Racine.</w:t>
      </w:r>
    </w:p>
    <w:p w:rsidR="00000000" w:rsidDel="00000000" w:rsidP="00000000" w:rsidRDefault="00000000" w:rsidRPr="00000000" w14:paraId="00000038">
      <w:pPr>
        <w:ind w:left="0" w:hanging="2"/>
        <w:rPr/>
      </w:pPr>
      <w:r w:rsidDel="00000000" w:rsidR="00000000" w:rsidRPr="00000000">
        <w:rPr>
          <w:i w:val="1"/>
          <w:rtl w:val="0"/>
        </w:rPr>
        <w:t xml:space="preserve">La religieuse</w:t>
      </w:r>
      <w:r w:rsidDel="00000000" w:rsidR="00000000" w:rsidRPr="00000000">
        <w:rPr>
          <w:rtl w:val="0"/>
        </w:rPr>
        <w:t xml:space="preserve"> (1796) de Denis Diderot.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i w:val="1"/>
          <w:rtl w:val="0"/>
        </w:rPr>
        <w:t xml:space="preserve">Une saison en enfer</w:t>
      </w:r>
      <w:r w:rsidDel="00000000" w:rsidR="00000000" w:rsidRPr="00000000">
        <w:rPr>
          <w:rtl w:val="0"/>
        </w:rPr>
        <w:t xml:space="preserve"> (1873) de Arthur Rimbaud.</w:t>
      </w:r>
    </w:p>
    <w:p w:rsidR="00000000" w:rsidDel="00000000" w:rsidP="00000000" w:rsidRDefault="00000000" w:rsidRPr="00000000" w14:paraId="0000003A">
      <w:pPr>
        <w:ind w:left="0" w:hanging="2"/>
        <w:rPr/>
      </w:pPr>
      <w:r w:rsidDel="00000000" w:rsidR="00000000" w:rsidRPr="00000000">
        <w:rPr>
          <w:i w:val="1"/>
          <w:rtl w:val="0"/>
        </w:rPr>
        <w:t xml:space="preserve">Boule de suif</w:t>
      </w:r>
      <w:r w:rsidDel="00000000" w:rsidR="00000000" w:rsidRPr="00000000">
        <w:rPr>
          <w:rtl w:val="0"/>
        </w:rPr>
        <w:t xml:space="preserve"> (1880) de Guy de Maupassant.</w:t>
      </w:r>
    </w:p>
    <w:p w:rsidR="00000000" w:rsidDel="00000000" w:rsidP="00000000" w:rsidRDefault="00000000" w:rsidRPr="00000000" w14:paraId="0000003B">
      <w:pPr>
        <w:ind w:left="0" w:hanging="2"/>
        <w:rPr/>
      </w:pPr>
      <w:r w:rsidDel="00000000" w:rsidR="00000000" w:rsidRPr="00000000">
        <w:rPr>
          <w:i w:val="1"/>
          <w:rtl w:val="0"/>
        </w:rPr>
        <w:t xml:space="preserve">Querelle de Brest</w:t>
      </w:r>
      <w:r w:rsidDel="00000000" w:rsidR="00000000" w:rsidRPr="00000000">
        <w:rPr>
          <w:rtl w:val="0"/>
        </w:rPr>
        <w:t xml:space="preserve"> (1947) de Jean Genet</w:t>
      </w:r>
    </w:p>
    <w:p w:rsidR="00000000" w:rsidDel="00000000" w:rsidP="00000000" w:rsidRDefault="00000000" w:rsidRPr="00000000" w14:paraId="0000003C">
      <w:pPr>
        <w:ind w:left="0" w:hanging="2"/>
        <w:rPr/>
      </w:pPr>
      <w:r w:rsidDel="00000000" w:rsidR="00000000" w:rsidRPr="00000000">
        <w:rPr>
          <w:i w:val="1"/>
          <w:rtl w:val="0"/>
        </w:rPr>
        <w:t xml:space="preserve">La pluie d’été</w:t>
      </w:r>
      <w:r w:rsidDel="00000000" w:rsidR="00000000" w:rsidRPr="00000000">
        <w:rPr>
          <w:rtl w:val="0"/>
        </w:rPr>
        <w:t xml:space="preserve"> (1990) de Marguerite Duras.</w:t>
      </w:r>
    </w:p>
    <w:p w:rsidR="00000000" w:rsidDel="00000000" w:rsidP="00000000" w:rsidRDefault="00000000" w:rsidRPr="00000000" w14:paraId="0000003D">
      <w:pPr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Ediciones sugeridas en español</w:t>
      </w:r>
    </w:p>
    <w:p w:rsidR="00000000" w:rsidDel="00000000" w:rsidP="00000000" w:rsidRDefault="00000000" w:rsidRPr="00000000" w14:paraId="0000003E">
      <w:pPr>
        <w:ind w:left="0" w:hanging="2"/>
        <w:rPr/>
      </w:pPr>
      <w:r w:rsidDel="00000000" w:rsidR="00000000" w:rsidRPr="00000000">
        <w:rPr>
          <w:rtl w:val="0"/>
        </w:rPr>
        <w:t xml:space="preserve">RACINE, J. (2007): </w:t>
      </w:r>
      <w:r w:rsidDel="00000000" w:rsidR="00000000" w:rsidRPr="00000000">
        <w:rPr>
          <w:i w:val="1"/>
          <w:rtl w:val="0"/>
        </w:rPr>
        <w:t xml:space="preserve">Berenice.</w:t>
      </w:r>
      <w:r w:rsidDel="00000000" w:rsidR="00000000" w:rsidRPr="00000000">
        <w:rPr>
          <w:rtl w:val="0"/>
        </w:rPr>
        <w:t xml:space="preserve"> Buenos Aires, Artes del Sur. Traducción de Walter Romero</w:t>
      </w:r>
    </w:p>
    <w:p w:rsidR="00000000" w:rsidDel="00000000" w:rsidP="00000000" w:rsidRDefault="00000000" w:rsidRPr="00000000" w14:paraId="0000003F">
      <w:pPr>
        <w:ind w:left="0" w:hanging="2"/>
        <w:rPr/>
      </w:pPr>
      <w:r w:rsidDel="00000000" w:rsidR="00000000" w:rsidRPr="00000000">
        <w:rPr>
          <w:rtl w:val="0"/>
        </w:rPr>
        <w:t xml:space="preserve">DIDEROT, D. (1976): </w:t>
      </w:r>
      <w:r w:rsidDel="00000000" w:rsidR="00000000" w:rsidRPr="00000000">
        <w:rPr>
          <w:i w:val="1"/>
          <w:rtl w:val="0"/>
        </w:rPr>
        <w:t xml:space="preserve">La religiosa</w:t>
      </w:r>
      <w:r w:rsidDel="00000000" w:rsidR="00000000" w:rsidRPr="00000000">
        <w:rPr>
          <w:rtl w:val="0"/>
        </w:rPr>
        <w:t xml:space="preserve">. Buenos Aires, Grijalbo. Traducción de  Alberto Hanf.</w:t>
      </w:r>
    </w:p>
    <w:p w:rsidR="00000000" w:rsidDel="00000000" w:rsidP="00000000" w:rsidRDefault="00000000" w:rsidRPr="00000000" w14:paraId="00000040">
      <w:pPr>
        <w:ind w:left="0" w:hanging="2"/>
        <w:rPr/>
      </w:pPr>
      <w:r w:rsidDel="00000000" w:rsidR="00000000" w:rsidRPr="00000000">
        <w:rPr>
          <w:rtl w:val="0"/>
        </w:rPr>
        <w:t xml:space="preserve">RIMBAUD, A. (2011): </w:t>
      </w:r>
      <w:r w:rsidDel="00000000" w:rsidR="00000000" w:rsidRPr="00000000">
        <w:rPr>
          <w:i w:val="1"/>
          <w:rtl w:val="0"/>
        </w:rPr>
        <w:t xml:space="preserve">Una temporada en el infierno</w:t>
      </w:r>
      <w:r w:rsidDel="00000000" w:rsidR="00000000" w:rsidRPr="00000000">
        <w:rPr>
          <w:rtl w:val="0"/>
        </w:rPr>
        <w:t xml:space="preserve">. Buenos Aires, Eudeba. Traducción de Tomás Oilhaborda.</w:t>
      </w:r>
    </w:p>
    <w:p w:rsidR="00000000" w:rsidDel="00000000" w:rsidP="00000000" w:rsidRDefault="00000000" w:rsidRPr="00000000" w14:paraId="00000041">
      <w:pPr>
        <w:ind w:left="0" w:hanging="2"/>
        <w:rPr/>
      </w:pPr>
      <w:r w:rsidDel="00000000" w:rsidR="00000000" w:rsidRPr="00000000">
        <w:rPr>
          <w:rtl w:val="0"/>
        </w:rPr>
        <w:t xml:space="preserve">MAUPASSANT, G. de (1979). </w:t>
      </w:r>
      <w:r w:rsidDel="00000000" w:rsidR="00000000" w:rsidRPr="00000000">
        <w:rPr>
          <w:i w:val="1"/>
          <w:rtl w:val="0"/>
        </w:rPr>
        <w:t xml:space="preserve">Bola de sebo y otros cuentos</w:t>
      </w:r>
      <w:r w:rsidDel="00000000" w:rsidR="00000000" w:rsidRPr="00000000">
        <w:rPr>
          <w:rtl w:val="0"/>
        </w:rPr>
        <w:t xml:space="preserve">. Buenos Aires, Centro Editor de América Latina. Traducción de Luis Ruiz Contreras.</w:t>
      </w:r>
    </w:p>
    <w:p w:rsidR="00000000" w:rsidDel="00000000" w:rsidP="00000000" w:rsidRDefault="00000000" w:rsidRPr="00000000" w14:paraId="00000042">
      <w:pPr>
        <w:ind w:left="0" w:hanging="2"/>
        <w:rPr/>
      </w:pPr>
      <w:r w:rsidDel="00000000" w:rsidR="00000000" w:rsidRPr="00000000">
        <w:rPr>
          <w:rtl w:val="0"/>
        </w:rPr>
        <w:t xml:space="preserve">GENET, J. (2018): </w:t>
      </w:r>
      <w:r w:rsidDel="00000000" w:rsidR="00000000" w:rsidRPr="00000000">
        <w:rPr>
          <w:i w:val="1"/>
          <w:rtl w:val="0"/>
        </w:rPr>
        <w:t xml:space="preserve">Querelle de Brest</w:t>
      </w:r>
      <w:r w:rsidDel="00000000" w:rsidR="00000000" w:rsidRPr="00000000">
        <w:rPr>
          <w:rtl w:val="0"/>
        </w:rPr>
        <w:t xml:space="preserve">. Buenos Aires, El cuenco de plata. Traducción de Tununa Mercado.</w:t>
      </w:r>
    </w:p>
    <w:p w:rsidR="00000000" w:rsidDel="00000000" w:rsidP="00000000" w:rsidRDefault="00000000" w:rsidRPr="00000000" w14:paraId="00000043">
      <w:pPr>
        <w:ind w:left="0" w:hanging="2"/>
        <w:rPr/>
      </w:pPr>
      <w:r w:rsidDel="00000000" w:rsidR="00000000" w:rsidRPr="00000000">
        <w:rPr>
          <w:rtl w:val="0"/>
        </w:rPr>
        <w:t xml:space="preserve">DURAS, M. (2012): </w:t>
      </w:r>
      <w:r w:rsidDel="00000000" w:rsidR="00000000" w:rsidRPr="00000000">
        <w:rPr>
          <w:i w:val="1"/>
          <w:rtl w:val="0"/>
        </w:rPr>
        <w:t xml:space="preserve">La lluvia de verano</w:t>
      </w:r>
      <w:r w:rsidDel="00000000" w:rsidR="00000000" w:rsidRPr="00000000">
        <w:rPr>
          <w:rtl w:val="0"/>
        </w:rPr>
        <w:t xml:space="preserve">. Buenos Aires, El cuenco de plata. Traducción de Guadalupe Marando y Margarita Martínez.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.0000000000000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</w:tabs>
        <w:spacing w:after="0" w:before="0" w:line="240" w:lineRule="auto"/>
        <w:ind w:left="720" w:right="0" w:hanging="360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Reconocer las estrategias discursivas y literarias de la otredad y la extranjería en las letras de expresión francesa.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Debatir y objetivar subjetividades de las disidencias.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</w:tabs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Reconocer  y comparar las figuraciones del yo como otro y su tratamiento imaginario en obras de distintos géneros, períodos y autores de la literatura francesa.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</w:tabs>
        <w:spacing w:after="0" w:before="0" w:line="240" w:lineRule="auto"/>
        <w:ind w:left="-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.0000000000000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Contenidos: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[organizados en unidades temáticas]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Unidad 1: Berenice</w:t>
      </w:r>
    </w:p>
    <w:p w:rsidR="00000000" w:rsidDel="00000000" w:rsidP="00000000" w:rsidRDefault="00000000" w:rsidRPr="00000000" w14:paraId="0000004D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El teatro jansenista de Jean Racine. Formas de la femineidad en el teatro del siglo XVII: Berenice como heroína oriental. Roma y Oriente en el teatro clásico francés. La revisitación del modelo trágico de la antigüedad greco-romana. Racine: las tragedias del lenguajes (Steiner) Decoro y </w:t>
      </w:r>
      <w:r w:rsidDel="00000000" w:rsidR="00000000" w:rsidRPr="00000000">
        <w:rPr>
          <w:i w:val="1"/>
          <w:rtl w:val="0"/>
        </w:rPr>
        <w:t xml:space="preserve">bienséance</w:t>
      </w:r>
      <w:r w:rsidDel="00000000" w:rsidR="00000000" w:rsidRPr="00000000">
        <w:rPr>
          <w:rtl w:val="0"/>
        </w:rPr>
        <w:t xml:space="preserve">. Los problemas teóricos de la doctrina clásica: el reinado de Luis XIV y el protectorado de las artes. El siglo XVII como siglo heteróclito: corrientes religiones, querellas y salones. Tragedia y comedia en la tríada clásica: Racine, Molière y Corneille. Discurso, balbuceo y afasia en </w:t>
      </w:r>
      <w:r w:rsidDel="00000000" w:rsidR="00000000" w:rsidRPr="00000000">
        <w:rPr>
          <w:i w:val="1"/>
          <w:rtl w:val="0"/>
        </w:rPr>
        <w:t xml:space="preserve">Bérénice </w:t>
      </w:r>
      <w:r w:rsidDel="00000000" w:rsidR="00000000" w:rsidRPr="00000000">
        <w:rPr>
          <w:rtl w:val="0"/>
        </w:rPr>
        <w:t xml:space="preserve">de Jean Racine. Racine según Barthes y Goldmann. El </w:t>
      </w:r>
      <w:r w:rsidDel="00000000" w:rsidR="00000000" w:rsidRPr="00000000">
        <w:rPr>
          <w:i w:val="1"/>
          <w:rtl w:val="0"/>
        </w:rPr>
        <w:t xml:space="preserve">Grand Siècle</w:t>
      </w:r>
      <w:r w:rsidDel="00000000" w:rsidR="00000000" w:rsidRPr="00000000">
        <w:rPr>
          <w:rtl w:val="0"/>
        </w:rPr>
        <w:t xml:space="preserve">: teatro y representatividad. El teatro como “género dominante”: subespecies discursivas y subjetividades de la disidencia. </w:t>
      </w:r>
    </w:p>
    <w:p w:rsidR="00000000" w:rsidDel="00000000" w:rsidP="00000000" w:rsidRDefault="00000000" w:rsidRPr="00000000" w14:paraId="0000004E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hanging="2"/>
        <w:rPr/>
      </w:pPr>
      <w:r w:rsidDel="00000000" w:rsidR="00000000" w:rsidRPr="00000000">
        <w:rPr>
          <w:i w:val="1"/>
          <w:rtl w:val="0"/>
        </w:rPr>
        <w:t xml:space="preserve">Bérénice</w:t>
      </w:r>
      <w:r w:rsidDel="00000000" w:rsidR="00000000" w:rsidRPr="00000000">
        <w:rPr>
          <w:rtl w:val="0"/>
        </w:rPr>
        <w:t xml:space="preserve"> (1670) de Jean Racine.</w:t>
      </w:r>
    </w:p>
    <w:p w:rsidR="00000000" w:rsidDel="00000000" w:rsidP="00000000" w:rsidRDefault="00000000" w:rsidRPr="00000000" w14:paraId="00000050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Unidad 2: Suzanne</w:t>
      </w:r>
    </w:p>
    <w:p w:rsidR="00000000" w:rsidDel="00000000" w:rsidP="00000000" w:rsidRDefault="00000000" w:rsidRPr="00000000" w14:paraId="00000052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Fanatismo y poder. Imagen de la femineidad (encerrada) en el siglo de las Luces: sátira y convento. El concepto de “daño”: ataques físicos y morales en los personajes diderotescos. Fenómenos de aprensión y crítica a los fundamentos del cristianismo: el trasfondo deísta. Lesbianismo y religión: ¿quién es Suzanne Simonet? </w:t>
      </w:r>
      <w:r w:rsidDel="00000000" w:rsidR="00000000" w:rsidRPr="00000000">
        <w:rPr>
          <w:i w:val="1"/>
          <w:rtl w:val="0"/>
        </w:rPr>
        <w:t xml:space="preserve">La religiosa</w:t>
      </w:r>
      <w:r w:rsidDel="00000000" w:rsidR="00000000" w:rsidRPr="00000000">
        <w:rPr>
          <w:rtl w:val="0"/>
        </w:rPr>
        <w:t xml:space="preserve"> entre el prefacio-anexo y la correspondencia. Diderot como “propagador de híbridos”: entre la antinovela y “la novela como engaño”. Formas de la “confesión fraudulenta” y episodios de pornografía: </w:t>
      </w:r>
      <w:r w:rsidDel="00000000" w:rsidR="00000000" w:rsidRPr="00000000">
        <w:rPr>
          <w:i w:val="1"/>
          <w:rtl w:val="0"/>
        </w:rPr>
        <w:t xml:space="preserve">La religiosa</w:t>
      </w:r>
      <w:r w:rsidDel="00000000" w:rsidR="00000000" w:rsidRPr="00000000">
        <w:rPr>
          <w:rtl w:val="0"/>
        </w:rPr>
        <w:t xml:space="preserve"> como texto prohibido.</w:t>
      </w:r>
    </w:p>
    <w:p w:rsidR="00000000" w:rsidDel="00000000" w:rsidP="00000000" w:rsidRDefault="00000000" w:rsidRPr="00000000" w14:paraId="00000053">
      <w:pPr>
        <w:ind w:left="0" w:hanging="2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hanging="2"/>
        <w:rPr/>
      </w:pPr>
      <w:r w:rsidDel="00000000" w:rsidR="00000000" w:rsidRPr="00000000">
        <w:rPr>
          <w:i w:val="1"/>
          <w:rtl w:val="0"/>
        </w:rPr>
        <w:t xml:space="preserve">La religieuse</w:t>
      </w:r>
      <w:r w:rsidDel="00000000" w:rsidR="00000000" w:rsidRPr="00000000">
        <w:rPr>
          <w:rtl w:val="0"/>
        </w:rPr>
        <w:t xml:space="preserve"> (1796) de Denis Diderot.</w:t>
      </w:r>
    </w:p>
    <w:p w:rsidR="00000000" w:rsidDel="00000000" w:rsidP="00000000" w:rsidRDefault="00000000" w:rsidRPr="00000000" w14:paraId="00000055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Unidad 4: Arthur</w:t>
      </w:r>
    </w:p>
    <w:p w:rsidR="00000000" w:rsidDel="00000000" w:rsidP="00000000" w:rsidRDefault="00000000" w:rsidRPr="00000000" w14:paraId="00000058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Je est autre</w:t>
      </w:r>
      <w:r w:rsidDel="00000000" w:rsidR="00000000" w:rsidRPr="00000000">
        <w:rPr>
          <w:rtl w:val="0"/>
        </w:rPr>
        <w:t xml:space="preserve">” como apotegma maldito. </w:t>
      </w:r>
      <w:r w:rsidDel="00000000" w:rsidR="00000000" w:rsidRPr="00000000">
        <w:rPr>
          <w:i w:val="1"/>
          <w:rtl w:val="0"/>
        </w:rPr>
        <w:t xml:space="preserve">Una temporada en el infierno:</w:t>
      </w:r>
      <w:r w:rsidDel="00000000" w:rsidR="00000000" w:rsidRPr="00000000">
        <w:rPr>
          <w:rtl w:val="0"/>
        </w:rPr>
        <w:t xml:space="preserve"> autobiografía lírico-ficcional. Poesía, blasfemia y disidencia. El “drama de Bruselas”: Verlaine y Rimbaud como dispositivo de imbricación entre poesía y existencia. Modulaciones líricas del “esposo infernal” y “la virgen loca”. Rimbaud según Bonnefoy. Residuos de la escuela parnasiana y simbolista. Problemas de método poético: el caso Rimbaud. </w:t>
      </w:r>
      <w:r w:rsidDel="00000000" w:rsidR="00000000" w:rsidRPr="00000000">
        <w:rPr>
          <w:i w:val="1"/>
          <w:rtl w:val="0"/>
        </w:rPr>
        <w:t xml:space="preserve">Veuvages</w:t>
      </w:r>
      <w:r w:rsidDel="00000000" w:rsidR="00000000" w:rsidRPr="00000000">
        <w:rPr>
          <w:rtl w:val="0"/>
        </w:rPr>
        <w:t xml:space="preserve">, teoría de la videncia y el “desarreglo razonado de los sentidos”.</w:t>
      </w:r>
    </w:p>
    <w:p w:rsidR="00000000" w:rsidDel="00000000" w:rsidP="00000000" w:rsidRDefault="00000000" w:rsidRPr="00000000" w14:paraId="00000059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hanging="2"/>
        <w:rPr/>
      </w:pPr>
      <w:r w:rsidDel="00000000" w:rsidR="00000000" w:rsidRPr="00000000">
        <w:rPr>
          <w:i w:val="1"/>
          <w:rtl w:val="0"/>
        </w:rPr>
        <w:t xml:space="preserve">Une saison en enfer</w:t>
      </w:r>
      <w:r w:rsidDel="00000000" w:rsidR="00000000" w:rsidRPr="00000000">
        <w:rPr>
          <w:rtl w:val="0"/>
        </w:rPr>
        <w:t xml:space="preserve"> (1873) de Arthur Rimbaud.</w:t>
      </w:r>
    </w:p>
    <w:p w:rsidR="00000000" w:rsidDel="00000000" w:rsidP="00000000" w:rsidRDefault="00000000" w:rsidRPr="00000000" w14:paraId="0000005B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Unidad 5: Elizabeth</w:t>
      </w:r>
    </w:p>
    <w:p w:rsidR="00000000" w:rsidDel="00000000" w:rsidP="00000000" w:rsidRDefault="00000000" w:rsidRPr="00000000" w14:paraId="0000005D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Maupassant, entre Flaubert y Zola. Realismo y naturalismo: la literatura en el </w:t>
      </w:r>
      <w:r w:rsidDel="00000000" w:rsidR="00000000" w:rsidRPr="00000000">
        <w:rPr>
          <w:i w:val="1"/>
          <w:rtl w:val="0"/>
        </w:rPr>
        <w:t xml:space="preserve">groupe de Médan</w:t>
      </w:r>
      <w:r w:rsidDel="00000000" w:rsidR="00000000" w:rsidRPr="00000000">
        <w:rPr>
          <w:rtl w:val="0"/>
        </w:rPr>
        <w:t xml:space="preserve">. Teoría del cuento y narración naturalista. La mujer galante y su imagen en la guerra. “Lo verdadero puede no ser verosímil”. </w:t>
      </w:r>
      <w:r w:rsidDel="00000000" w:rsidR="00000000" w:rsidRPr="00000000">
        <w:rPr>
          <w:i w:val="1"/>
          <w:rtl w:val="0"/>
        </w:rPr>
        <w:t xml:space="preserve">Bola de sebo</w:t>
      </w:r>
      <w:r w:rsidDel="00000000" w:rsidR="00000000" w:rsidRPr="00000000">
        <w:rPr>
          <w:rtl w:val="0"/>
        </w:rPr>
        <w:t xml:space="preserve"> como nouvelle-insignia: Elizabeth, la prostituta patriota y sus “tretas del débil”. La guerra franco-prusiana: derrota francesa y literatura (Savinio) Estratificaciones sociales, burguesía y “mandatos” en la literatura de la forma breve en Maupassant: comerciantes, burgueses, nobles, demócratas y religiosos como tipos sociales. Secuelas de la diligencia de Dieppe. Maupassant o la física de la desgracia. (Barthes)</w:t>
      </w:r>
    </w:p>
    <w:p w:rsidR="00000000" w:rsidDel="00000000" w:rsidP="00000000" w:rsidRDefault="00000000" w:rsidRPr="00000000" w14:paraId="0000005E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hanging="2"/>
        <w:rPr/>
      </w:pPr>
      <w:r w:rsidDel="00000000" w:rsidR="00000000" w:rsidRPr="00000000">
        <w:rPr>
          <w:i w:val="1"/>
          <w:rtl w:val="0"/>
        </w:rPr>
        <w:t xml:space="preserve">Boule de suif</w:t>
      </w:r>
      <w:r w:rsidDel="00000000" w:rsidR="00000000" w:rsidRPr="00000000">
        <w:rPr>
          <w:rtl w:val="0"/>
        </w:rPr>
        <w:t xml:space="preserve"> (1880) de Guy de Maupassant.</w:t>
      </w:r>
    </w:p>
    <w:p w:rsidR="00000000" w:rsidDel="00000000" w:rsidP="00000000" w:rsidRDefault="00000000" w:rsidRPr="00000000" w14:paraId="00000060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Unidad 6: Querelle</w:t>
      </w:r>
    </w:p>
    <w:p w:rsidR="00000000" w:rsidDel="00000000" w:rsidP="00000000" w:rsidRDefault="00000000" w:rsidRPr="00000000" w14:paraId="00000062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Jean Genet y la abyección. </w:t>
      </w:r>
      <w:r w:rsidDel="00000000" w:rsidR="00000000" w:rsidRPr="00000000">
        <w:rPr>
          <w:i w:val="1"/>
          <w:rtl w:val="0"/>
        </w:rPr>
        <w:t xml:space="preserve">Querelle de Brest</w:t>
      </w:r>
      <w:r w:rsidDel="00000000" w:rsidR="00000000" w:rsidRPr="00000000">
        <w:rPr>
          <w:rtl w:val="0"/>
        </w:rPr>
        <w:t xml:space="preserve">: formas del eros homosexual. Melodrama y religión en Genet. Narración y lírica crispada en la literatura de posguerra francesa. Crimen y expiación: la vía dolorosa del sodomita. Genet según Didier Eribon: una moral de lo minoritario. Formas de inscripción de la vergüenza: el orgullo del paria. Brest como puerto del deseo. Asesinato y cuerpo social. Genet como “instaurador de discursividad” (Foucault)  El tema del doble: hermandad y homoerotismo. Yo y el otro: el amor y el rechazo de los parecidos.</w:t>
      </w:r>
    </w:p>
    <w:p w:rsidR="00000000" w:rsidDel="00000000" w:rsidP="00000000" w:rsidRDefault="00000000" w:rsidRPr="00000000" w14:paraId="00000063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hanging="2"/>
        <w:rPr/>
      </w:pPr>
      <w:r w:rsidDel="00000000" w:rsidR="00000000" w:rsidRPr="00000000">
        <w:rPr>
          <w:i w:val="1"/>
          <w:rtl w:val="0"/>
        </w:rPr>
        <w:t xml:space="preserve">Querelle de Brest</w:t>
      </w:r>
      <w:r w:rsidDel="00000000" w:rsidR="00000000" w:rsidRPr="00000000">
        <w:rPr>
          <w:rtl w:val="0"/>
        </w:rPr>
        <w:t xml:space="preserve"> (1947) de Jean Genet</w:t>
      </w:r>
    </w:p>
    <w:p w:rsidR="00000000" w:rsidDel="00000000" w:rsidP="00000000" w:rsidRDefault="00000000" w:rsidRPr="00000000" w14:paraId="00000065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Unidad 7: Ernesto</w:t>
      </w:r>
    </w:p>
    <w:p w:rsidR="00000000" w:rsidDel="00000000" w:rsidP="00000000" w:rsidRDefault="00000000" w:rsidRPr="00000000" w14:paraId="00000067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Duras y el deseo. De la escuela del Nouveau Roman (Robbe-Grillet) a la experimentación: la etapa final de la producción durasiana. Metaliteratura y narración deceptiva. Ernesto, el libro quemado y el deseo de no volver a la escuela. La inspiración guevarista en Duras. Escritura y aprendizaje: </w:t>
      </w:r>
      <w:r w:rsidDel="00000000" w:rsidR="00000000" w:rsidRPr="00000000">
        <w:rPr>
          <w:i w:val="1"/>
          <w:rtl w:val="0"/>
        </w:rPr>
        <w:t xml:space="preserve">imagos</w:t>
      </w:r>
      <w:r w:rsidDel="00000000" w:rsidR="00000000" w:rsidRPr="00000000">
        <w:rPr>
          <w:rtl w:val="0"/>
        </w:rPr>
        <w:t xml:space="preserve"> de ausencia. Inmigración y familia subsidiada: literatura y margen social. El teorema durasiano en </w:t>
      </w:r>
      <w:r w:rsidDel="00000000" w:rsidR="00000000" w:rsidRPr="00000000">
        <w:rPr>
          <w:i w:val="1"/>
          <w:rtl w:val="0"/>
        </w:rPr>
        <w:t xml:space="preserve">La lluvia de verano</w:t>
      </w:r>
      <w:r w:rsidDel="00000000" w:rsidR="00000000" w:rsidRPr="00000000">
        <w:rPr>
          <w:rtl w:val="0"/>
        </w:rPr>
        <w:t xml:space="preserve">. Modernidad y posmodernidad en Duras: literatura y soportes textuales. Formas de narrar la infancia: figuras de la recurrencia.</w:t>
      </w:r>
    </w:p>
    <w:p w:rsidR="00000000" w:rsidDel="00000000" w:rsidP="00000000" w:rsidRDefault="00000000" w:rsidRPr="00000000" w14:paraId="00000068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hanging="2"/>
        <w:jc w:val="both"/>
        <w:rPr/>
      </w:pPr>
      <w:r w:rsidDel="00000000" w:rsidR="00000000" w:rsidRPr="00000000">
        <w:rPr>
          <w:i w:val="1"/>
          <w:rtl w:val="0"/>
        </w:rPr>
        <w:t xml:space="preserve">La pluie d’été</w:t>
      </w:r>
      <w:r w:rsidDel="00000000" w:rsidR="00000000" w:rsidRPr="00000000">
        <w:rPr>
          <w:rtl w:val="0"/>
        </w:rPr>
        <w:t xml:space="preserve"> (1990) de Marguerite Duras</w:t>
      </w:r>
    </w:p>
    <w:p w:rsidR="00000000" w:rsidDel="00000000" w:rsidP="00000000" w:rsidRDefault="00000000" w:rsidRPr="00000000" w14:paraId="0000006A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.0000000000000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Bibliografía, filmografía y/o discografía obligatoria, complementaria y fuentes, si correspondiera: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hanging="2"/>
        <w:jc w:val="both"/>
        <w:rPr/>
      </w:pPr>
      <w:r w:rsidDel="00000000" w:rsidR="00000000" w:rsidRPr="00000000">
        <w:rPr>
          <w:u w:val="single"/>
          <w:rtl w:val="0"/>
        </w:rPr>
        <w:t xml:space="preserve">Unidad 1: Berenice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hanging="2"/>
        <w:jc w:val="both"/>
        <w:rPr/>
      </w:pPr>
      <w:r w:rsidDel="00000000" w:rsidR="00000000" w:rsidRPr="00000000">
        <w:rPr>
          <w:u w:val="single"/>
          <w:rtl w:val="0"/>
        </w:rPr>
        <w:t xml:space="preserve">Bibliografía obligatoria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BARTHES, R. (1992):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Sobre Racine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México, Siglo XXI, 43-93</w:t>
      </w:r>
    </w:p>
    <w:p w:rsidR="00000000" w:rsidDel="00000000" w:rsidP="00000000" w:rsidRDefault="00000000" w:rsidRPr="00000000" w14:paraId="00000073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GOLDMANN, L.  (1986): “Racine”, “La visión trágica en el teatro de Racine” y “Las tragedias de la negación”, en 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El hombre y lo absoluto. El dios oculto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Barcelona, Planeta, 407-450.</w:t>
      </w:r>
    </w:p>
    <w:p w:rsidR="00000000" w:rsidDel="00000000" w:rsidP="00000000" w:rsidRDefault="00000000" w:rsidRPr="00000000" w14:paraId="00000074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LACRETELLE, J. y P. (1974): “Introducción al teatro de Racine”,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Racine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Madrid, Espasa Calpe, 9-53.</w:t>
      </w:r>
    </w:p>
    <w:p w:rsidR="00000000" w:rsidDel="00000000" w:rsidP="00000000" w:rsidRDefault="00000000" w:rsidRPr="00000000" w14:paraId="00000075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MATAMORO, B. 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El teatro de Jean Racine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en The cult.es : </w:t>
      </w:r>
      <w:hyperlink r:id="rId9">
        <w:r w:rsidDel="00000000" w:rsidR="00000000" w:rsidRPr="00000000">
          <w:rPr>
            <w:rFonts w:ascii="Garamond" w:cs="Garamond" w:eastAsia="Garamond" w:hAnsi="Garamond"/>
            <w:color w:val="0000ff"/>
            <w:u w:val="single"/>
            <w:vertAlign w:val="baseline"/>
            <w:rtl w:val="0"/>
          </w:rPr>
          <w:t xml:space="preserve">http://www.thecult.es/secciones/teatro/el-teatro-de-jean-racine.html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ROMERO, W. (2007): “Berenice. Estudio preliminar”,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Racine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J. Berenice. Buenos Aires, Artes del Sur, 5-23.</w:t>
      </w:r>
    </w:p>
    <w:p w:rsidR="00000000" w:rsidDel="00000000" w:rsidP="00000000" w:rsidRDefault="00000000" w:rsidRPr="00000000" w14:paraId="00000077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WILLIAMS, R. (2014): “Ideas trágicas”,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Tragedia moderna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Buenos Aires, Edhasa, 29-56.</w:t>
      </w:r>
    </w:p>
    <w:p w:rsidR="00000000" w:rsidDel="00000000" w:rsidP="00000000" w:rsidRDefault="00000000" w:rsidRPr="00000000" w14:paraId="00000078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hanging="2"/>
        <w:jc w:val="both"/>
        <w:rPr/>
      </w:pPr>
      <w:r w:rsidDel="00000000" w:rsidR="00000000" w:rsidRPr="00000000">
        <w:rPr>
          <w:u w:val="single"/>
          <w:rtl w:val="0"/>
        </w:rPr>
        <w:t xml:space="preserve">Bibliografía complementaria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BENICHOU, P. (1948): “Racine”,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Morales du grand siècle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Paris, Gallimard, 175-209.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GREENBERG, M. (1992): “Racine's "Bérénice": Orientalism and the Allegory of Absolutism”, en L'Esprit Créateur, Vol. 32, No. 3, Early Orientalisms, 75-86.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STEINER, G. (2008):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muerte de la tragedia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México, FCE, 19-42.</w:t>
      </w:r>
    </w:p>
    <w:p w:rsidR="00000000" w:rsidDel="00000000" w:rsidP="00000000" w:rsidRDefault="00000000" w:rsidRPr="00000000" w14:paraId="0000007D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STENDHAL (1968):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Racine y Shakespeare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Buenos Aires, CEAL, 23-61.</w:t>
      </w:r>
    </w:p>
    <w:p w:rsidR="00000000" w:rsidDel="00000000" w:rsidP="00000000" w:rsidRDefault="00000000" w:rsidRPr="00000000" w14:paraId="0000007E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TOLLEMACHE, M. (2014): “Cornelius Jansen”,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Los jansenistas franceses. Fidelis usque ad mortem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Buenos Aires, Las cuarenta, 17-27.</w:t>
      </w:r>
    </w:p>
    <w:p w:rsidR="00000000" w:rsidDel="00000000" w:rsidP="00000000" w:rsidRDefault="00000000" w:rsidRPr="00000000" w14:paraId="0000007F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Unidad 2: Suzanne</w:t>
      </w:r>
    </w:p>
    <w:p w:rsidR="00000000" w:rsidDel="00000000" w:rsidP="00000000" w:rsidRDefault="00000000" w:rsidRPr="00000000" w14:paraId="00000081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Bibliografía obligatoria</w:t>
      </w:r>
    </w:p>
    <w:p w:rsidR="00000000" w:rsidDel="00000000" w:rsidP="00000000" w:rsidRDefault="00000000" w:rsidRPr="00000000" w14:paraId="00000082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BENOT, Y. (1973): “Los caminos de la creación. 3. Mitificación, memoria y estratificación”,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Diderot: del ateísmo al anticolonialismo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México, sigloXXI, 105-126.</w:t>
      </w:r>
    </w:p>
    <w:p w:rsidR="00000000" w:rsidDel="00000000" w:rsidP="00000000" w:rsidRDefault="00000000" w:rsidRPr="00000000" w14:paraId="00000083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FOUCAULT, M: (2009):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Vigilar y castigar: Nacimiento de la prisión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México, sigloXXI</w:t>
      </w:r>
    </w:p>
    <w:p w:rsidR="00000000" w:rsidDel="00000000" w:rsidP="00000000" w:rsidRDefault="00000000" w:rsidRPr="00000000" w14:paraId="00000084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FURBANK, D. N. (1994): “La religiosa”,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Denis Diderot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Barcelona, Emecé, 227-240.</w:t>
      </w:r>
    </w:p>
    <w:p w:rsidR="00000000" w:rsidDel="00000000" w:rsidP="00000000" w:rsidRDefault="00000000" w:rsidRPr="00000000" w14:paraId="00000085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LUPPOL, I. K. (1940): “Del teísmo al ateísmo”,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Diderot.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Buenos Aires, Problemas, 63-98.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Bibliografía complementaria</w:t>
      </w:r>
    </w:p>
    <w:p w:rsidR="00000000" w:rsidDel="00000000" w:rsidP="00000000" w:rsidRDefault="00000000" w:rsidRPr="00000000" w14:paraId="00000088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BLOM, P. (2010): “Fénix”, en 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Encyclopédie. El triunfo de la razón en tiempos irracionales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Barcelona, Anagrama, 337-354.</w:t>
      </w:r>
    </w:p>
    <w:p w:rsidR="00000000" w:rsidDel="00000000" w:rsidP="00000000" w:rsidRDefault="00000000" w:rsidRPr="00000000" w14:paraId="00000089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JOUARY, J- P. (1992): “Introducción”, en DIDEROT, D.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El sueño de D’Alembert y Suplemento al viaje de Bouganville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Madrid, Debate, IX-XLVIII.</w:t>
      </w:r>
    </w:p>
    <w:p w:rsidR="00000000" w:rsidDel="00000000" w:rsidP="00000000" w:rsidRDefault="00000000" w:rsidRPr="00000000" w14:paraId="0000008A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Unidad 4: Arthur</w:t>
      </w:r>
    </w:p>
    <w:p w:rsidR="00000000" w:rsidDel="00000000" w:rsidP="00000000" w:rsidRDefault="00000000" w:rsidRPr="00000000" w14:paraId="0000008D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Bibliografía obligatoria</w:t>
      </w:r>
    </w:p>
    <w:p w:rsidR="00000000" w:rsidDel="00000000" w:rsidP="00000000" w:rsidRDefault="00000000" w:rsidRPr="00000000" w14:paraId="0000008E">
      <w:pPr>
        <w:ind w:left="0" w:right="-79" w:hanging="2"/>
        <w:rPr/>
      </w:pPr>
      <w:r w:rsidDel="00000000" w:rsidR="00000000" w:rsidRPr="00000000">
        <w:rPr>
          <w:rtl w:val="0"/>
        </w:rPr>
        <w:t xml:space="preserve">BONNEFOY, I. (2017) : « Una temporada en el infierno », en </w:t>
      </w:r>
      <w:r w:rsidDel="00000000" w:rsidR="00000000" w:rsidRPr="00000000">
        <w:rPr>
          <w:i w:val="1"/>
          <w:rtl w:val="0"/>
        </w:rPr>
        <w:t xml:space="preserve">Nuestra necesidad de Rimbaud</w:t>
      </w:r>
      <w:r w:rsidDel="00000000" w:rsidR="00000000" w:rsidRPr="00000000">
        <w:rPr>
          <w:rtl w:val="0"/>
        </w:rPr>
        <w:t xml:space="preserve">. Buenos Aires, El cuenco de plata, 231-246.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BORER, A. (1984): “Vagabundeo”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Rimbaud en Abisinia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México: Fondo de Cultura Económica, 61-82.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CARRÉ, J.-C.  (1991):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Vida de Rimbaud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Buenos Aires: Leviatán.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DIEZ-CANEDO, E. (1945): “Arthur Rimbaud”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 poesía francesa del romanticismo al superrealismo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Buenos Aires: Losada.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ESCARPIT, R. (1965): “El simbolismo”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Historia de la literatura francesa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México: Fondo de Cultura económica.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SOLLERS, P.  (2013): “Pobre Verlaine” “La palabra de Rimbaud”, “El fusil de Rimbaud” y “Salvación de Rimbaud”.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Discurso perfecto. Ensayos sobre literatura y arte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Buenos Aires: El cuenco de plata.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WILSON, E. (1982): “El simbolismo” y “Axel y Rimbaud”. El castillo de Axel. Estudios sobre literatura imaginativa de 1870-1930. Madrid: Cupsa Editorial, 11-27  y 201-230.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Bibliografía complementaria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AGUIRRE, R. (1983): “Los iniciadores del simbolismo”, “Evolución del simbolismo” y “Derivaciones del simbolismo”,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Las poéticas del siglo 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Buenos Aires, Ediciones Culturales Argentinas. 55-62.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BORGES, J. L. (1986): “Dos interpretaciones de Arthur Rimbaud”, Año 33, nº 1445, 25 de junio.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BUTOR, M. (1991):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Retrato hablado de Rimbaud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México: SigloXXI.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MICHON, P. (2001):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Rimbaud el hijo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Barcelona: Anagrama.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RIQUER, M. y VALVERDE, J. Ma. (2007): “El romanticismo francés” y “La poesía francesa, desde el “Parnasse” a Mallarmé”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Historia de la literatura universal 2. Desde el Barroco hasta nuestros días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Madrid: Gredos. 324-347 y 520-539.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ZWEIG, S. (1941): “Arturo Rimbaud”.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 pasión creadora. Autores, poetas, novelistas y críticos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Buenos Aires: Claridad. 155-166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Unidad 5: Elizabeth</w:t>
      </w:r>
    </w:p>
    <w:p w:rsidR="00000000" w:rsidDel="00000000" w:rsidP="00000000" w:rsidRDefault="00000000" w:rsidRPr="00000000" w14:paraId="0000009F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Bibliografía obligatoria</w:t>
      </w:r>
    </w:p>
    <w:p w:rsidR="00000000" w:rsidDel="00000000" w:rsidP="00000000" w:rsidRDefault="00000000" w:rsidRPr="00000000" w14:paraId="000000A0">
      <w:pPr>
        <w:ind w:left="0" w:right="-79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ACHER, L. (2008) : « Henry James y Maupassant », en Revista Iesxuqueira, Vol. 8 Nº 15.</w:t>
      </w:r>
    </w:p>
    <w:p w:rsidR="00000000" w:rsidDel="00000000" w:rsidP="00000000" w:rsidRDefault="00000000" w:rsidRPr="00000000" w14:paraId="000000A1">
      <w:pPr>
        <w:ind w:left="0" w:right="-79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BARTHES, R. (2003) : « Maupassant o la física de la desgracia »,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Variaciones sobre la literatura.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Buenos Aires, Paidós, pp. 119-123.</w:t>
      </w:r>
    </w:p>
    <w:p w:rsidR="00000000" w:rsidDel="00000000" w:rsidP="00000000" w:rsidRDefault="00000000" w:rsidRPr="00000000" w14:paraId="000000A2">
      <w:pPr>
        <w:ind w:left="0" w:right="-79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MAUPASSANT, G. (1971) : « La novela »,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Pedro y Juan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Navarra, Salvat, 17-28.</w:t>
      </w:r>
    </w:p>
    <w:p w:rsidR="00000000" w:rsidDel="00000000" w:rsidP="00000000" w:rsidRDefault="00000000" w:rsidRPr="00000000" w14:paraId="000000A3">
      <w:pPr>
        <w:ind w:left="0" w:right="-79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ZOLA, E. (1989) : « Sobre la novela »,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El naturalismo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Barcelona, Península, 239-262.</w:t>
      </w:r>
    </w:p>
    <w:p w:rsidR="00000000" w:rsidDel="00000000" w:rsidP="00000000" w:rsidRDefault="00000000" w:rsidRPr="00000000" w14:paraId="000000A4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Bibliografía complementaria</w:t>
      </w:r>
    </w:p>
    <w:p w:rsidR="00000000" w:rsidDel="00000000" w:rsidP="00000000" w:rsidRDefault="00000000" w:rsidRPr="00000000" w14:paraId="000000A6">
      <w:pPr>
        <w:ind w:left="0" w:right="-79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SAVINIO, A. (2018) 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Maupassant y el otro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Barcelona, Acantilado, 2-16</w:t>
      </w:r>
    </w:p>
    <w:p w:rsidR="00000000" w:rsidDel="00000000" w:rsidP="00000000" w:rsidRDefault="00000000" w:rsidRPr="00000000" w14:paraId="000000A7">
      <w:pPr>
        <w:ind w:left="0" w:right="-79" w:hanging="2"/>
        <w:rPr/>
      </w:pPr>
      <w:r w:rsidDel="00000000" w:rsidR="00000000" w:rsidRPr="00000000">
        <w:rPr>
          <w:rtl w:val="0"/>
        </w:rPr>
        <w:t xml:space="preserve">BLOMM, H. (2009) : </w:t>
      </w:r>
      <w:r w:rsidDel="00000000" w:rsidR="00000000" w:rsidRPr="00000000">
        <w:rPr>
          <w:i w:val="1"/>
          <w:rtl w:val="0"/>
        </w:rPr>
        <w:t xml:space="preserve">Cuentos y cuentistas. El canon del cuento</w:t>
      </w:r>
      <w:r w:rsidDel="00000000" w:rsidR="00000000" w:rsidRPr="00000000">
        <w:rPr>
          <w:rtl w:val="0"/>
        </w:rPr>
        <w:t xml:space="preserve">. Madrid, Páginas de Espuma.</w:t>
      </w:r>
    </w:p>
    <w:p w:rsidR="00000000" w:rsidDel="00000000" w:rsidP="00000000" w:rsidRDefault="00000000" w:rsidRPr="00000000" w14:paraId="000000A8">
      <w:pPr>
        <w:ind w:left="0" w:right="-79" w:hanging="2"/>
        <w:rPr/>
      </w:pPr>
      <w:r w:rsidDel="00000000" w:rsidR="00000000" w:rsidRPr="00000000">
        <w:rPr>
          <w:color w:val="222222"/>
          <w:rtl w:val="0"/>
        </w:rPr>
        <w:t xml:space="preserve">FLAUBERT, G. (1942): </w:t>
      </w:r>
      <w:r w:rsidDel="00000000" w:rsidR="00000000" w:rsidRPr="00000000">
        <w:rPr>
          <w:i w:val="1"/>
          <w:color w:val="222222"/>
          <w:rtl w:val="0"/>
        </w:rPr>
        <w:t xml:space="preserve">Lettres à Maupassant</w:t>
      </w:r>
      <w:r w:rsidDel="00000000" w:rsidR="00000000" w:rsidRPr="00000000">
        <w:rPr>
          <w:color w:val="222222"/>
          <w:rtl w:val="0"/>
        </w:rPr>
        <w:t xml:space="preserve">. París, Les Editions du livre moderne.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right="-79" w:hanging="2"/>
        <w:rPr/>
      </w:pPr>
      <w:r w:rsidDel="00000000" w:rsidR="00000000" w:rsidRPr="00000000">
        <w:rPr>
          <w:color w:val="222222"/>
          <w:rtl w:val="0"/>
        </w:rPr>
        <w:t xml:space="preserve">MORAND, P. (1942): </w:t>
      </w:r>
      <w:r w:rsidDel="00000000" w:rsidR="00000000" w:rsidRPr="00000000">
        <w:rPr>
          <w:i w:val="1"/>
          <w:color w:val="222222"/>
          <w:rtl w:val="0"/>
        </w:rPr>
        <w:t xml:space="preserve">Vie de Guy de Maupassant</w:t>
      </w:r>
      <w:r w:rsidDel="00000000" w:rsidR="00000000" w:rsidRPr="00000000">
        <w:rPr>
          <w:color w:val="222222"/>
          <w:rtl w:val="0"/>
        </w:rPr>
        <w:t xml:space="preserve">. París. Club France Loisirs.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right="-79" w:hanging="2"/>
        <w:rPr/>
      </w:pPr>
      <w:r w:rsidDel="00000000" w:rsidR="00000000" w:rsidRPr="00000000">
        <w:rPr>
          <w:rtl w:val="0"/>
        </w:rPr>
        <w:t xml:space="preserve">REYES TARAZONA, R. (2008) : « El legado de Guy de Maupassant », en Tradición Nº8, 125-131.</w:t>
      </w:r>
    </w:p>
    <w:p w:rsidR="00000000" w:rsidDel="00000000" w:rsidP="00000000" w:rsidRDefault="00000000" w:rsidRPr="00000000" w14:paraId="000000AB">
      <w:pPr>
        <w:ind w:left="0" w:right="-79" w:hanging="2"/>
        <w:rPr/>
      </w:pPr>
      <w:r w:rsidDel="00000000" w:rsidR="00000000" w:rsidRPr="00000000">
        <w:rPr>
          <w:color w:val="222222"/>
          <w:rtl w:val="0"/>
        </w:rPr>
        <w:t xml:space="preserve">TROYAT, H. (1993): </w:t>
      </w:r>
      <w:r w:rsidDel="00000000" w:rsidR="00000000" w:rsidRPr="00000000">
        <w:rPr>
          <w:i w:val="1"/>
          <w:color w:val="222222"/>
          <w:rtl w:val="0"/>
        </w:rPr>
        <w:t xml:space="preserve">Maupassant</w:t>
      </w:r>
      <w:r w:rsidDel="00000000" w:rsidR="00000000" w:rsidRPr="00000000">
        <w:rPr>
          <w:color w:val="222222"/>
          <w:rtl w:val="0"/>
        </w:rPr>
        <w:t xml:space="preserve">. Caracas, Monteávila.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right="-79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Unidad 6: Querelle</w:t>
      </w:r>
    </w:p>
    <w:p w:rsidR="00000000" w:rsidDel="00000000" w:rsidP="00000000" w:rsidRDefault="00000000" w:rsidRPr="00000000" w14:paraId="000000AF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Bibliografía obligatoria</w:t>
      </w:r>
    </w:p>
    <w:p w:rsidR="00000000" w:rsidDel="00000000" w:rsidP="00000000" w:rsidRDefault="00000000" w:rsidRPr="00000000" w14:paraId="000000B0">
      <w:pPr>
        <w:ind w:left="0" w:right="-79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BATAILLE, G. (1977) : « Genet »,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La literatura y el mal.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Taurus, Madrid, 88-114.</w:t>
      </w:r>
    </w:p>
    <w:p w:rsidR="00000000" w:rsidDel="00000000" w:rsidP="00000000" w:rsidRDefault="00000000" w:rsidRPr="00000000" w14:paraId="000000B1">
      <w:pPr>
        <w:ind w:left="0" w:right="-79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ERIBON, D. (2004) 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Una moral de lo minoritario. Variaciones sobre un tema de Jean Genet.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Barcelona, Anagrama.</w:t>
      </w:r>
    </w:p>
    <w:p w:rsidR="00000000" w:rsidDel="00000000" w:rsidP="00000000" w:rsidRDefault="00000000" w:rsidRPr="00000000" w14:paraId="000000B2">
      <w:pPr>
        <w:ind w:left="0" w:right="-79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GENET, J. : (2009) 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El niño criminal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Madrid, Errata naturae,  37-62</w:t>
      </w:r>
    </w:p>
    <w:p w:rsidR="00000000" w:rsidDel="00000000" w:rsidP="00000000" w:rsidRDefault="00000000" w:rsidRPr="00000000" w14:paraId="000000B3">
      <w:pPr>
        <w:ind w:left="0" w:right="-79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MORALY, J. B. (1989) 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Jean Genet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Barcelona, Gedisa.</w:t>
      </w:r>
    </w:p>
    <w:p w:rsidR="00000000" w:rsidDel="00000000" w:rsidP="00000000" w:rsidRDefault="00000000" w:rsidRPr="00000000" w14:paraId="000000B4">
      <w:pPr>
        <w:ind w:left="0" w:right="-79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SAID, E. W. (2009) : « En torno a Jean Genet »,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Sobre el estilo tardío. Música y literatura a contracorriente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Buenos Aires, Debate, 107-128.</w:t>
      </w:r>
    </w:p>
    <w:p w:rsidR="00000000" w:rsidDel="00000000" w:rsidP="00000000" w:rsidRDefault="00000000" w:rsidRPr="00000000" w14:paraId="000000B5">
      <w:pPr>
        <w:ind w:left="0" w:right="-79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SARTRE ; J. P. (2003) : « Yo es otro »,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San Genet, comediante y mártir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Buenos Aires, Losada, 111-194.</w:t>
      </w:r>
    </w:p>
    <w:p w:rsidR="00000000" w:rsidDel="00000000" w:rsidP="00000000" w:rsidRDefault="00000000" w:rsidRPr="00000000" w14:paraId="000000B6">
      <w:pPr>
        <w:ind w:left="0" w:right="-79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WEISZ CARRINGTON, G. (1977) : « La máscara de la farsa »,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Las máscaras de Jean Genet.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México, UNAM, 145-162.</w:t>
      </w:r>
    </w:p>
    <w:p w:rsidR="00000000" w:rsidDel="00000000" w:rsidP="00000000" w:rsidRDefault="00000000" w:rsidRPr="00000000" w14:paraId="000000B7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Bibliografía complementaria</w:t>
      </w:r>
    </w:p>
    <w:p w:rsidR="00000000" w:rsidDel="00000000" w:rsidP="00000000" w:rsidRDefault="00000000" w:rsidRPr="00000000" w14:paraId="000000B9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AA.VV. (2003): </w:t>
      </w:r>
      <w:r w:rsidDel="00000000" w:rsidR="00000000" w:rsidRPr="00000000">
        <w:rPr>
          <w:i w:val="1"/>
          <w:rtl w:val="0"/>
        </w:rPr>
        <w:t xml:space="preserve">De poetas, niños y criminales. A propósito de Jean Genet.</w:t>
      </w:r>
      <w:r w:rsidDel="00000000" w:rsidR="00000000" w:rsidRPr="00000000">
        <w:rPr>
          <w:rtl w:val="0"/>
        </w:rPr>
        <w:t xml:space="preserve"> Buenos Aires, Ediciones del Signo.</w:t>
      </w:r>
    </w:p>
    <w:p w:rsidR="00000000" w:rsidDel="00000000" w:rsidP="00000000" w:rsidRDefault="00000000" w:rsidRPr="00000000" w14:paraId="000000BA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BEN JELLOUN, T. (2010): </w:t>
      </w:r>
      <w:r w:rsidDel="00000000" w:rsidR="00000000" w:rsidRPr="00000000">
        <w:rPr>
          <w:i w:val="1"/>
          <w:rtl w:val="0"/>
        </w:rPr>
        <w:t xml:space="preserve">Jean Genet, menteur sublime</w:t>
      </w:r>
      <w:r w:rsidDel="00000000" w:rsidR="00000000" w:rsidRPr="00000000">
        <w:rPr>
          <w:rtl w:val="0"/>
        </w:rPr>
        <w:t xml:space="preserve">. Paris, Gallimard.</w:t>
      </w:r>
    </w:p>
    <w:p w:rsidR="00000000" w:rsidDel="00000000" w:rsidP="00000000" w:rsidRDefault="00000000" w:rsidRPr="00000000" w14:paraId="000000BB">
      <w:pPr>
        <w:ind w:left="0" w:right="-79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BRUSTEIN, R. (1970) : « Antonin Artaud y Jean Genet. El teatro de la crueldad », en De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Ibsen a Genet : la rebelión en el teatro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Buenos Aires, Troquel, 391-442.</w:t>
      </w:r>
    </w:p>
    <w:p w:rsidR="00000000" w:rsidDel="00000000" w:rsidP="00000000" w:rsidRDefault="00000000" w:rsidRPr="00000000" w14:paraId="000000BC">
      <w:pPr>
        <w:ind w:left="0" w:right="-79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GENET, J. (1997):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El objeto invisible. Escritos sobre arte, literatura y teatro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Barcelona, Thassalia.</w:t>
      </w:r>
    </w:p>
    <w:p w:rsidR="00000000" w:rsidDel="00000000" w:rsidP="00000000" w:rsidRDefault="00000000" w:rsidRPr="00000000" w14:paraId="000000BD">
      <w:pPr>
        <w:ind w:left="0" w:right="-79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MILLET, K. (1995) : « Jean Genet »,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Política sexual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Cátedra, Madrid, 565-605.</w:t>
      </w:r>
    </w:p>
    <w:p w:rsidR="00000000" w:rsidDel="00000000" w:rsidP="00000000" w:rsidRDefault="00000000" w:rsidRPr="00000000" w14:paraId="000000BE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Unidad 7: Ernesto</w:t>
      </w:r>
    </w:p>
    <w:p w:rsidR="00000000" w:rsidDel="00000000" w:rsidP="00000000" w:rsidRDefault="00000000" w:rsidRPr="00000000" w14:paraId="000000C0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Bibliografía obligatoria</w:t>
      </w:r>
    </w:p>
    <w:p w:rsidR="00000000" w:rsidDel="00000000" w:rsidP="00000000" w:rsidRDefault="00000000" w:rsidRPr="00000000" w14:paraId="000000C1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BACHELARD, G. (1982): “Las ensoñaciones que tienden a la infancia”,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La poética de la ensoñación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México, FCE, 149-217.</w:t>
      </w:r>
    </w:p>
    <w:p w:rsidR="00000000" w:rsidDel="00000000" w:rsidP="00000000" w:rsidRDefault="00000000" w:rsidRPr="00000000" w14:paraId="000000C2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BLOT-LABARRERE, C.  (1998):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Marguerite Duras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Buenos Aires, Ediciones de la Flor.</w:t>
      </w:r>
    </w:p>
    <w:p w:rsidR="00000000" w:rsidDel="00000000" w:rsidP="00000000" w:rsidRDefault="00000000" w:rsidRPr="00000000" w14:paraId="000000C3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DURAS, M. (2014): “Una infancia”,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La pasión suspendida. Entrevistas con Leopoldina Pallotta della Torre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Buenos Aires, Paidós.</w:t>
      </w:r>
    </w:p>
    <w:p w:rsidR="00000000" w:rsidDel="00000000" w:rsidP="00000000" w:rsidRDefault="00000000" w:rsidRPr="00000000" w14:paraId="000000C4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KRISTEVA, J. (1997): «La enfermedad del dolor: Duras»,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Sol negro. Depresión y melancolía.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Caracas, Monte Ávila.</w:t>
      </w:r>
    </w:p>
    <w:p w:rsidR="00000000" w:rsidDel="00000000" w:rsidP="00000000" w:rsidRDefault="00000000" w:rsidRPr="00000000" w14:paraId="000000C5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ROMERO, W. (2009): “Marguerite Duras”, en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Panorama de la Literatura Francesa Contemporánea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Buenos Aires, Santiago Arcos, 46-48.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de" w:cs="Code" w:eastAsia="Code" w:hAnsi="Code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SIGNORI, L. (2013): The (w)hole in the text: A hermeneutic reading of Marguetite Duras’s “La pluie d’été”, Romance Notes, Vol. 53, Nº 1, 3-10.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hanging="2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Bibliografía complementaria</w:t>
      </w:r>
    </w:p>
    <w:p w:rsidR="00000000" w:rsidDel="00000000" w:rsidP="00000000" w:rsidRDefault="00000000" w:rsidRPr="00000000" w14:paraId="000000C9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DRISSI, H. (2009):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L’oeuvre de Marguerite Duras ou le expression d’un tragique moderne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Paris, Université Paris-Est. https://tel.archives-ouvertes.fr/tel-00432049</w:t>
      </w:r>
    </w:p>
    <w:p w:rsidR="00000000" w:rsidDel="00000000" w:rsidP="00000000" w:rsidRDefault="00000000" w:rsidRPr="00000000" w14:paraId="000000CA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DUMAYET, P. (1999): “Marguerite Duras: leer y escribir” (entrevista) Revista Tijeretazos, Madrid, 1-17.</w:t>
      </w:r>
    </w:p>
    <w:p w:rsidR="00000000" w:rsidDel="00000000" w:rsidP="00000000" w:rsidRDefault="00000000" w:rsidRPr="00000000" w14:paraId="000000CB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BRADU, F. (2007): “La insondable soledad de la prosa de Marguerite Duras”. Revista de la Universidad de México, Nº 14, 105-107.</w:t>
      </w:r>
    </w:p>
    <w:p w:rsidR="00000000" w:rsidDel="00000000" w:rsidP="00000000" w:rsidRDefault="00000000" w:rsidRPr="00000000" w14:paraId="000000CC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SCHERER, R. y HOCQUENGHEM, G. (1979):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Álbum sistemático de  la infancia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Barcelona, Anagrama.</w:t>
      </w:r>
    </w:p>
    <w:p w:rsidR="00000000" w:rsidDel="00000000" w:rsidP="00000000" w:rsidRDefault="00000000" w:rsidRPr="00000000" w14:paraId="000000CD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TORRES SÁENZ, J. (2013): “La Máquina Duras. El lugar de la memoria sin recuerdo”. Revista Historia y Grafía Nº 39, julio-diciembre, 44-65.</w:t>
      </w:r>
    </w:p>
    <w:p w:rsidR="00000000" w:rsidDel="00000000" w:rsidP="00000000" w:rsidRDefault="00000000" w:rsidRPr="00000000" w14:paraId="000000CE">
      <w:pPr>
        <w:ind w:left="0" w:hanging="2"/>
        <w:jc w:val="both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VILLA-MATAS, E. (2010): “Esperando al contratista (Marguerite Duras)”. Diario El País de Madrid, 10/VII/2010.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0" w:hanging="2"/>
        <w:jc w:val="both"/>
        <w:rPr/>
      </w:pPr>
      <w:r w:rsidDel="00000000" w:rsidR="00000000" w:rsidRPr="00000000">
        <w:rPr>
          <w:u w:val="single"/>
          <w:rtl w:val="0"/>
        </w:rPr>
        <w:t xml:space="preserve">Bibliografía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BATAILLE, G. (2007) 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Las lágrimas de Eros.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Barcelona: Tusquets.</w:t>
      </w:r>
    </w:p>
    <w:p w:rsidR="00000000" w:rsidDel="00000000" w:rsidP="00000000" w:rsidRDefault="00000000" w:rsidRPr="00000000" w14:paraId="000000D2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BARTHES, R. (2003)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El grado cero de la escritura. Nuevos ensayos críticos.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Buenos </w:t>
      </w:r>
    </w:p>
    <w:p w:rsidR="00000000" w:rsidDel="00000000" w:rsidP="00000000" w:rsidRDefault="00000000" w:rsidRPr="00000000" w14:paraId="000000D3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    Aires, Siglo XXI.</w:t>
      </w:r>
    </w:p>
    <w:p w:rsidR="00000000" w:rsidDel="00000000" w:rsidP="00000000" w:rsidRDefault="00000000" w:rsidRPr="00000000" w14:paraId="000000D4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BESSIÈRE, J. (2006):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Qu’est-il arrivé aux écrivains français? D ‘Alain Robbe Grillet à Jonhatan Littell.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Loverbal, Labor.</w:t>
      </w:r>
    </w:p>
    <w:p w:rsidR="00000000" w:rsidDel="00000000" w:rsidP="00000000" w:rsidRDefault="00000000" w:rsidRPr="00000000" w14:paraId="000000D5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BRAUDEAU, M. (2001):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Roman français contemporain.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Paris: Ministère d’Affaires Étrangères-</w:t>
      </w:r>
    </w:p>
    <w:p w:rsidR="00000000" w:rsidDel="00000000" w:rsidP="00000000" w:rsidRDefault="00000000" w:rsidRPr="00000000" w14:paraId="000000D6">
      <w:pPr>
        <w:ind w:left="0" w:hanging="2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CASANOVA, P. (2001) 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La república mundial de las Letras.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Barcelona, Anagrama.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 </w:t>
      </w:r>
    </w:p>
    <w:p w:rsidR="00000000" w:rsidDel="00000000" w:rsidP="00000000" w:rsidRDefault="00000000" w:rsidRPr="00000000" w14:paraId="000000D7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GENETTE, G.  (1969):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Figures II.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Paris, Seuil.</w:t>
      </w:r>
    </w:p>
    <w:p w:rsidR="00000000" w:rsidDel="00000000" w:rsidP="00000000" w:rsidRDefault="00000000" w:rsidRPr="00000000" w14:paraId="000000D8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------------------------ (1972) 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Figures III.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Paris, Seuil.</w:t>
      </w:r>
    </w:p>
    <w:p w:rsidR="00000000" w:rsidDel="00000000" w:rsidP="00000000" w:rsidRDefault="00000000" w:rsidRPr="00000000" w14:paraId="000000D9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------------------------ (1982):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Palimpsestes.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Paris, Seuil, </w:t>
      </w:r>
    </w:p>
    <w:p w:rsidR="00000000" w:rsidDel="00000000" w:rsidP="00000000" w:rsidRDefault="00000000" w:rsidRPr="00000000" w14:paraId="000000DA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----------------------- (1993):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Nuevo discurso del relato.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Madrid, Cátedra.</w:t>
      </w:r>
    </w:p>
    <w:p w:rsidR="00000000" w:rsidDel="00000000" w:rsidP="00000000" w:rsidRDefault="00000000" w:rsidRPr="00000000" w14:paraId="000000DB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GUICHARD, T. (2007) 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Le Roman français contemporain.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Paris: Culture France.</w:t>
      </w:r>
    </w:p>
    <w:p w:rsidR="00000000" w:rsidDel="00000000" w:rsidP="00000000" w:rsidRDefault="00000000" w:rsidRPr="00000000" w14:paraId="000000DC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HILLEN, S. (2007) 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Le roman français de Sartre à Houellebecq.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Caen, Archive de Lettres Modernes.</w:t>
      </w:r>
    </w:p>
    <w:p w:rsidR="00000000" w:rsidDel="00000000" w:rsidP="00000000" w:rsidRDefault="00000000" w:rsidRPr="00000000" w14:paraId="000000DD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MIRAUX, J- P. (2005):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El personaje en la novela.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Buenos Aires, Nueva Visión,                                           </w:t>
      </w:r>
    </w:p>
    <w:p w:rsidR="00000000" w:rsidDel="00000000" w:rsidP="00000000" w:rsidRDefault="00000000" w:rsidRPr="00000000" w14:paraId="000000DE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--------------- (2005);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La autobiografía. Las escrituras del yo.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Buenos Aires, Nueva Visión. </w:t>
      </w:r>
    </w:p>
    <w:p w:rsidR="00000000" w:rsidDel="00000000" w:rsidP="00000000" w:rsidRDefault="00000000" w:rsidRPr="00000000" w14:paraId="000000DF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RABATÉ, D. (1999):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Poétiques de la voix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Paris, José Corti.</w:t>
      </w:r>
    </w:p>
    <w:p w:rsidR="00000000" w:rsidDel="00000000" w:rsidP="00000000" w:rsidRDefault="00000000" w:rsidRPr="00000000" w14:paraId="000000E0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ROMERO, W. (2009):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Panorama de la literatura francesa contemporánea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Buenos Aires, Santiago Arcos editor.</w:t>
      </w:r>
    </w:p>
    <w:p w:rsidR="00000000" w:rsidDel="00000000" w:rsidP="00000000" w:rsidRDefault="00000000" w:rsidRPr="00000000" w14:paraId="000000E1">
      <w:pPr>
        <w:ind w:left="0" w:hanging="2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SALGAS, J. P. (1997):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Roman français contemporaine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Paris, ADPF.</w:t>
      </w:r>
    </w:p>
    <w:p w:rsidR="00000000" w:rsidDel="00000000" w:rsidP="00000000" w:rsidRDefault="00000000" w:rsidRPr="00000000" w14:paraId="000000E2">
      <w:pPr>
        <w:ind w:left="0" w:hanging="2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WRIGHT, E. (1985):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Psicoanálisis y crítica cultural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 Buenos Aires, Per Abat. </w:t>
      </w:r>
    </w:p>
    <w:p w:rsidR="00000000" w:rsidDel="00000000" w:rsidP="00000000" w:rsidRDefault="00000000" w:rsidRPr="00000000" w14:paraId="000000E3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.0000000000000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Organización del dictado de la materia: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materia se dicta en modalidad virtual mientras duren las restricciones establecidas por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el Aislamiento Social Preventivo y Obligatorio definido por el gobierno nacional (DNU 297/2020)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Su funcionamiento se adecua a lo establecido en la Res. (D) Nº 732/20 y a la normativa específica dispuesta a los efectos de organizar el dictado a distancia.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dictado de clases se realiza a través del campus virtual de la Facultad de Filosofía y Letras y de otros canales de comunicación virtual que se consideren pertinentes para favorecer el intercambio pedagógico con los/las estudiantes.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carga horaria total es de 96 horas.   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Modalidad de trabajo: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Dada la modalidad virtual, la cátedra dictará de manera sincrónica —con comunicación de coordenadas de enlace en el campus de la materia— las instancias teóricas y prácticas de la materia. En las clases prácticas se ampliará el estudio de los autores y textos consignados en el presente programa con apoyo virtual  a través de guías de lecturas, comentarios textuales y ateneos de bibliografía teórica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cátedra prevé 2 (dos) instancias evaluadoras en el transcurso del cuatrimestre que, en caso de concretarse en su totalidad bajo la modalidad virtual, tendrán carácter de PARCIAL DOMICILIARIO.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.0000000000000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Organización de la evaluación: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materia se dicta bajo el régimen de promoción con EXAMEN FINAL (EF) establecido en el Reglamento Académico (Res. (CD) Nº 4428/17) e incorpora las modificaciones establecidas en la Res. (D) Nº 732/20 para su adecuación a la modalidad virtual de manera excepcional.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-Regularización de la materia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condición para alcanzar la regularidad de la materia aprobar 2 (dos) instancias de evaluación parcial (o sus respectivos recuperatorios) con un mínimo de 4 (cuatro) puntos en cada instancia.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Quienes no alcancen las condiciones establecidas para el régimen con EXAMEN FINAL deberán reinscribirse u optar por rendir la materia en calidad de libre.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-Aprobación  de la materia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aprobación de la materia se realizará mediante un EXAMEN FINAL presencial en el que deberá obtenerse una nota mínima de 4 (cuatro) puntos. La evaluación podrá llevarse a cabo cuando las condiciones sanitarias lo permitan.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dispondrá de UN (1) RECUPERATORIO para aquellos/as estudiantes que: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hayan estado ausentes en una o más instancias de examen parcial; 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hayan desaprobado una instancia de examen parcial.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desaprobación de más de una instancia de parcial constituye la pérdida de la regularidad y el/la estudiante deberá volver a cursar la materia.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Cumplido el recuperatorio, de no obtener una calificación de aprobado (mínimo de 4 puntos), el/la estudiante deberá volver a inscribirse en la asignatura o rendir examen en calidad de libre. La nota del recuperatorio reemplaza a la nota del parcial original desaprobado o no rendido.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corrección de las evaluaciones y trabajos prácticos escritos deberá efectuarse y ser puesta a disposición del/la estudiante en un plazo máximo de 3 (tres) semanas a partir de su realización o entrega.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VIGENCIA DE LA REGULARIDAD: 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la vigencia de la regularidad de la cursada de una materia, el/la estudiante podrá presentarse a examen final en 3 (tres) mesas examinadoras en 3 (tres) turnos alternativos no necesariamente consecutivos. Si no alcanzara la promoción en ninguna de ellas deberá volver a inscribirse y cursar la asignatura o rendirla en calidad de libre. En la tercera presentación el/la estudiante podrá optar por la prueba escrita u oral.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los fines de la instancia de EXAMEN FINAL, la vigencia de la regularidad de la materia será de 4 (cuatro) años. Cumplido este plazo el/la estudiante deberá volver a inscribirse para cursar o rendir en condición de libre.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RÉGIMEN TRANSITORIO DE ASISTENCIA, REGULARIDAD Y MODALIDADES DE EVALUACIÓN DE MATERIAS: El cumplimiento de los requisitos de regularidad en los casos de estudiantes que se encuentren cursando bajo el Régimen Transitorio de Asistencia, Regularidad y Modalidades de Evaluación de Materias (RTARMEM) aprobado por Res. (CD) Nº 1117/10 quedará sujeto al análisis conjunto entre el Programa de Orientación de la SEUBE, los Departamentos docentes y la cátedra.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3702684</wp:posOffset>
            </wp:positionH>
            <wp:positionV relativeFrom="paragraph">
              <wp:posOffset>1052830</wp:posOffset>
            </wp:positionV>
            <wp:extent cx="2002155" cy="882015"/>
            <wp:effectExtent b="0" l="0" r="0" t="0"/>
            <wp:wrapTopAndBottom distB="0" distT="0"/>
            <wp:docPr id="10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82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Miguel Vedda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 del Departamento de Letras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first"/>
      <w:pgSz w:h="15840" w:w="12240"/>
      <w:pgMar w:bottom="1134" w:top="1134" w:left="2268" w:right="1134" w:header="720" w:footer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ode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Programa adecuado a las pautas de funcionamiento para la modalidad virtual establecidas en Res. (D) Nº. 732/20 y otra normativa específica dispuesta a los efectos de organizar la cursada en el contexto de la emergencia sanitaria que impide el desarrollo de clases presenciales en la Universidad.</w:t>
      </w:r>
    </w:p>
  </w:footnote>
  <w:footnote w:id="1"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Los/as docentes interinos/as están sujetos a la designación que apruebe el Consejo Directivo para el ciclo lectivo correspondiente.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  <w:jc w:val="both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ind w:left="0" w:hanging="1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2"/>
    <w:rsid w:val="00FC5FAE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FC5FAE"/>
    <w:pPr>
      <w:keepNext w:val="1"/>
      <w:numPr>
        <w:numId w:val="1"/>
      </w:numPr>
      <w:ind w:left="-1" w:hanging="1"/>
      <w:jc w:val="both"/>
    </w:pPr>
    <w:rPr>
      <w:b w:val="1"/>
      <w:bCs w:val="1"/>
      <w:u w:val="single"/>
    </w:rPr>
  </w:style>
  <w:style w:type="paragraph" w:styleId="Ttulo2">
    <w:name w:val="heading 2"/>
    <w:basedOn w:val="Normal2"/>
    <w:next w:val="Normal2"/>
    <w:rsid w:val="00FC5FA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2"/>
    <w:next w:val="Normal2"/>
    <w:rsid w:val="00FC5FA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2"/>
    <w:next w:val="Normal2"/>
    <w:rsid w:val="00FC5FAE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rsid w:val="00FC5FAE"/>
    <w:pPr>
      <w:keepNext w:val="1"/>
      <w:numPr>
        <w:ilvl w:val="4"/>
        <w:numId w:val="1"/>
      </w:numPr>
      <w:ind w:left="-1" w:hanging="1"/>
      <w:jc w:val="both"/>
      <w:outlineLvl w:val="4"/>
    </w:pPr>
    <w:rPr>
      <w:b w:val="1"/>
      <w:bCs w:val="1"/>
      <w:szCs w:val="20"/>
    </w:rPr>
  </w:style>
  <w:style w:type="paragraph" w:styleId="Ttulo6">
    <w:name w:val="heading 6"/>
    <w:basedOn w:val="Normal2"/>
    <w:next w:val="Normal2"/>
    <w:rsid w:val="00FC5FA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FC5FAE"/>
  </w:style>
  <w:style w:type="table" w:styleId="TableNormal" w:customStyle="1">
    <w:name w:val="Table Normal"/>
    <w:rsid w:val="00FC5FA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2"/>
    <w:next w:val="Normal2"/>
    <w:rsid w:val="00FC5FA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2"/>
    <w:rsid w:val="00FC5FAE"/>
  </w:style>
  <w:style w:type="table" w:styleId="TableNormal0" w:customStyle="1">
    <w:name w:val="Table Normal"/>
    <w:rsid w:val="00FC5FAE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sid w:val="00FC5FAE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styleId="WW8Num2z1" w:customStyle="1">
    <w:name w:val="WW8Num2z1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sid w:val="00FC5FAE"/>
    <w:rPr>
      <w:rFonts w:ascii="Arial" w:cs="Arial" w:hAnsi="Arial"/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styleId="WW8Num3z1" w:customStyle="1">
    <w:name w:val="WW8Num3z1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sid w:val="00FC5FAE"/>
    <w:rPr>
      <w:rFonts w:ascii="Arial" w:cs="Arial" w:hAnsi="Arial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WW8Num4z1" w:customStyle="1">
    <w:name w:val="WW8Num4z1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sid w:val="00FC5FAE"/>
    <w:rPr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WW8Num5z1" w:customStyle="1">
    <w:name w:val="WW8Num5z1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" w:customStyle="1">
    <w:name w:val="WW-Absatz-Standardschriftart11111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" w:customStyle="1">
    <w:name w:val="WW-Absatz-Standardschriftart111111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" w:customStyle="1">
    <w:name w:val="WW-Absatz-Standardschriftart1111111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Fuentedeprrafopredeter1" w:customStyle="1">
    <w:name w:val="Fuente de párrafo predeter.1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FC5FA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Vietas" w:customStyle="1">
    <w:name w:val="Viñetas"/>
    <w:rsid w:val="00FC5FAE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Carcterdenumeracin" w:customStyle="1">
    <w:name w:val="Carácter de numeración"/>
    <w:rsid w:val="00FC5FAE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sid w:val="00FC5FAE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sid w:val="00FC5FAE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sid w:val="00FC5FAE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sid w:val="00FC5FAE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sid w:val="00FC5FAE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Smbolosdenumeracin" w:customStyle="1">
    <w:name w:val="Símbolos de numeración"/>
    <w:rsid w:val="00FC5FAE"/>
    <w:rPr>
      <w:w w:val="100"/>
      <w:position w:val="-1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Textoindependiente"/>
    <w:rsid w:val="00FC5FAE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Textoindependiente">
    <w:name w:val="Body Text"/>
    <w:basedOn w:val="Normal"/>
    <w:rsid w:val="00FC5FAE"/>
    <w:pPr>
      <w:jc w:val="both"/>
    </w:pPr>
    <w:rPr>
      <w:b w:val="1"/>
      <w:bCs w:val="1"/>
      <w:u w:val="single"/>
    </w:rPr>
  </w:style>
  <w:style w:type="paragraph" w:styleId="Lista">
    <w:name w:val="List"/>
    <w:basedOn w:val="Textoindependiente"/>
    <w:rsid w:val="00FC5FAE"/>
  </w:style>
  <w:style w:type="paragraph" w:styleId="Epgrafe">
    <w:name w:val="caption"/>
    <w:basedOn w:val="Normal"/>
    <w:rsid w:val="00FC5FAE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rsid w:val="00FC5FAE"/>
    <w:pPr>
      <w:suppressLineNumbers w:val="1"/>
    </w:pPr>
  </w:style>
  <w:style w:type="paragraph" w:styleId="Encabezado1" w:customStyle="1">
    <w:name w:val="Encabezado1"/>
    <w:basedOn w:val="Normal"/>
    <w:next w:val="Textoindependiente"/>
    <w:rsid w:val="00FC5FAE"/>
    <w:pPr>
      <w:keepNext w:val="1"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type="paragraph" w:styleId="Etiqueta" w:customStyle="1">
    <w:name w:val="Etiqueta"/>
    <w:basedOn w:val="Normal"/>
    <w:rsid w:val="00FC5FAE"/>
    <w:pPr>
      <w:suppressLineNumbers w:val="1"/>
      <w:spacing w:after="120" w:before="120"/>
    </w:pPr>
    <w:rPr>
      <w:i w:val="1"/>
      <w:iCs w:val="1"/>
    </w:rPr>
  </w:style>
  <w:style w:type="paragraph" w:styleId="Textoindependiente2">
    <w:name w:val="Body Text 2"/>
    <w:basedOn w:val="Normal"/>
    <w:rsid w:val="00FC5FAE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jc w:val="both"/>
      <w:textAlignment w:val="baseline"/>
    </w:pPr>
    <w:rPr>
      <w:szCs w:val="20"/>
    </w:rPr>
  </w:style>
  <w:style w:type="paragraph" w:styleId="LO-normal" w:customStyle="1">
    <w:name w:val="LO-normal"/>
    <w:rsid w:val="00FC5FAE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Liberation Serif" w:hAnsi="Liberation Serif"/>
      <w:color w:val="000000"/>
      <w:position w:val="-1"/>
      <w:lang w:eastAsia="zh-CN" w:val="es-AR"/>
    </w:rPr>
  </w:style>
  <w:style w:type="paragraph" w:styleId="LO-normal1" w:customStyle="1">
    <w:name w:val="LO-normal1"/>
    <w:rsid w:val="00FC5FAE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Liberation Serif" w:hAnsi="Liberation Serif"/>
      <w:color w:val="000000"/>
      <w:position w:val="-1"/>
      <w:lang w:eastAsia="zh-CN" w:val="es-AR"/>
    </w:rPr>
  </w:style>
  <w:style w:type="paragraph" w:styleId="Contenidodelmarco" w:customStyle="1">
    <w:name w:val="Contenido del marco"/>
    <w:basedOn w:val="Normal"/>
    <w:rsid w:val="00FC5FAE"/>
  </w:style>
  <w:style w:type="paragraph" w:styleId="Encabezado">
    <w:name w:val="header"/>
    <w:basedOn w:val="Normal"/>
    <w:rsid w:val="00FC5FAE"/>
    <w:pPr>
      <w:tabs>
        <w:tab w:val="center" w:pos="4419"/>
        <w:tab w:val="right" w:pos="8838"/>
      </w:tabs>
    </w:pPr>
  </w:style>
  <w:style w:type="character" w:styleId="CarCar2" w:customStyle="1">
    <w:name w:val="Car Car2"/>
    <w:rsid w:val="00FC5FAE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Piedepgina">
    <w:name w:val="footer"/>
    <w:basedOn w:val="Normal"/>
    <w:rsid w:val="00FC5FAE"/>
    <w:pPr>
      <w:tabs>
        <w:tab w:val="center" w:pos="4419"/>
        <w:tab w:val="right" w:pos="8838"/>
      </w:tabs>
    </w:pPr>
  </w:style>
  <w:style w:type="character" w:styleId="CarCar1" w:customStyle="1">
    <w:name w:val="Car Car1"/>
    <w:rsid w:val="00FC5FAE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Textonotapie">
    <w:name w:val="footnote text"/>
    <w:basedOn w:val="Normal"/>
    <w:rsid w:val="00FC5FAE"/>
    <w:pPr>
      <w:suppressAutoHyphens w:val="1"/>
    </w:pPr>
    <w:rPr>
      <w:sz w:val="20"/>
      <w:szCs w:val="20"/>
    </w:rPr>
  </w:style>
  <w:style w:type="character" w:styleId="CarCar" w:customStyle="1">
    <w:name w:val="Car Car"/>
    <w:rsid w:val="00FC5FAE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denotaalpie">
    <w:name w:val="footnote reference"/>
    <w:rsid w:val="00FC5FAE"/>
    <w:rPr>
      <w:w w:val="100"/>
      <w:position w:val="-1"/>
      <w:effect w:val="none"/>
      <w:vertAlign w:val="superscript"/>
      <w:cs w:val="0"/>
      <w:em w:val="none"/>
    </w:rPr>
  </w:style>
  <w:style w:type="paragraph" w:styleId="Normal3" w:customStyle="1">
    <w:name w:val="Normal3"/>
    <w:rsid w:val="00FC5FAE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Liberation Serif" w:hAnsi="Liberation Serif"/>
      <w:color w:val="000000"/>
      <w:position w:val="-1"/>
      <w:lang w:eastAsia="es-AR" w:val="es-AR"/>
    </w:rPr>
  </w:style>
  <w:style w:type="paragraph" w:styleId="Subttulo">
    <w:name w:val="Subtitle"/>
    <w:basedOn w:val="Normal"/>
    <w:next w:val="Normal"/>
    <w:rsid w:val="00FC5FA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3408E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3408E"/>
    <w:rPr>
      <w:rFonts w:ascii="Tahoma" w:cs="Tahoma" w:hAnsi="Tahoma"/>
      <w:position w:val="-1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E432D7"/>
    <w:pPr>
      <w:ind w:left="720"/>
      <w:contextualSpacing w:val="1"/>
    </w:pPr>
  </w:style>
  <w:style w:type="paragraph" w:styleId="Default" w:customStyle="1">
    <w:name w:val="Default"/>
    <w:rsid w:val="00E432D7"/>
    <w:pPr>
      <w:autoSpaceDE w:val="0"/>
      <w:autoSpaceDN w:val="0"/>
      <w:adjustRightInd w:val="0"/>
    </w:pPr>
    <w:rPr>
      <w:rFonts w:ascii="Code" w:cs="Code" w:eastAsia="Calibri" w:hAnsi="Code"/>
      <w:color w:val="00000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image" Target="media/image1.jpg"/><Relationship Id="rId12" Type="http://schemas.openxmlformats.org/officeDocument/2006/relationships/footer" Target="footer1.xml"/><Relationship Id="rId9" Type="http://schemas.openxmlformats.org/officeDocument/2006/relationships/hyperlink" Target="http://www.thecult.es/secciones/teatro/el-teatro-de-jean-racine.htm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Gv4Bko7zLyInPM4EAHem043VRg==">AMUW2mWkRJOS0cBOh9cOp3DsBet3qcXHHKBtZzbdhTyjhIRlVi98nbdLSLOqd+nvDE7k2qf5qp7qCv/PVA75WRlE4CTumR6OohCVWUPesE6NPYQk0Th/X+sdSWN87Irj/tIcqwKBXNuKDZJyCnzr4csWnwwXKF82XRxaKi6GZwD/jViVLMmL/u4Q7s6fD4p7rnKMeG2YJQXy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2020-06-24T18:31:00Z</dcterms:created>
  <dc:creator>edudep</dc:creator>
</cp:coreProperties>
</file>